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0D632C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Enterprise Zone Governance Committee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051591">
        <w:rPr>
          <w:b/>
        </w:rPr>
        <w:t xml:space="preserve">No 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0D632C" w:rsidP="00A3358A">
      <w:r>
        <w:t>Thursday 16</w:t>
      </w:r>
      <w:r w:rsidR="00051591">
        <w:t xml:space="preserve"> July 2015</w:t>
      </w:r>
    </w:p>
    <w:p w:rsidR="00A3358A" w:rsidRDefault="00A3358A" w:rsidP="00A3358A"/>
    <w:p w:rsidR="00A3358A" w:rsidRDefault="000D632C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Enterprise Zone Governance Committee</w:t>
      </w:r>
      <w:r w:rsidR="00051591">
        <w:rPr>
          <w:b/>
        </w:rPr>
        <w:t xml:space="preserve"> Terms of Reference </w:t>
      </w:r>
    </w:p>
    <w:p w:rsidR="00A3358A" w:rsidRDefault="000D632C" w:rsidP="00A3358A">
      <w:pPr>
        <w:ind w:left="0" w:firstLine="0"/>
      </w:pPr>
      <w:r>
        <w:t>Appendix 'A' refers</w:t>
      </w:r>
    </w:p>
    <w:p w:rsidR="00D7480F" w:rsidRDefault="00D7480F" w:rsidP="00CF1133">
      <w:pPr>
        <w:spacing w:after="0" w:line="256" w:lineRule="auto"/>
        <w:ind w:left="0" w:firstLine="0"/>
      </w:pPr>
    </w:p>
    <w:p w:rsidR="00051591" w:rsidRDefault="00051591" w:rsidP="000D632C">
      <w:pPr>
        <w:ind w:left="0" w:right="-873" w:firstLine="0"/>
        <w:rPr>
          <w:b/>
        </w:rPr>
      </w:pPr>
      <w:r w:rsidRPr="00F41096">
        <w:rPr>
          <w:b/>
        </w:rPr>
        <w:t xml:space="preserve">Report Author: </w:t>
      </w:r>
      <w:r w:rsidR="000D632C">
        <w:rPr>
          <w:b/>
        </w:rPr>
        <w:t xml:space="preserve">Andy Milroy, Company Services Officer, Legal and Democratic Services, Lancashire County Council, Tel: 01772 530354, Email: </w:t>
      </w:r>
      <w:hyperlink r:id="rId8" w:history="1">
        <w:r w:rsidR="000D632C" w:rsidRPr="004857B3">
          <w:rPr>
            <w:rStyle w:val="Hyperlink"/>
            <w:b/>
          </w:rPr>
          <w:t>andy.milroy@lancashire.gov.uk</w:t>
        </w:r>
      </w:hyperlink>
      <w:r w:rsidR="000D632C">
        <w:rPr>
          <w:b/>
        </w:rPr>
        <w:t xml:space="preserve"> </w:t>
      </w:r>
    </w:p>
    <w:p w:rsidR="00CF1133" w:rsidRDefault="00CF1133" w:rsidP="00CF1133">
      <w:pPr>
        <w:spacing w:after="0" w:line="256" w:lineRule="auto"/>
        <w:ind w:left="0" w:firstLine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591" w:rsidTr="00F1787B">
        <w:trPr>
          <w:trHeight w:val="4947"/>
        </w:trPr>
        <w:tc>
          <w:tcPr>
            <w:tcW w:w="9016" w:type="dxa"/>
          </w:tcPr>
          <w:p w:rsidR="00147553" w:rsidRDefault="00147553" w:rsidP="00462971">
            <w:pPr>
              <w:spacing w:after="0" w:line="256" w:lineRule="auto"/>
              <w:ind w:left="0" w:firstLine="0"/>
              <w:rPr>
                <w:b/>
                <w:bCs/>
              </w:rPr>
            </w:pPr>
          </w:p>
          <w:p w:rsidR="00051591" w:rsidRDefault="00051591" w:rsidP="00462971">
            <w:pPr>
              <w:spacing w:after="0" w:line="25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Executive Summary</w:t>
            </w:r>
          </w:p>
          <w:p w:rsidR="00051591" w:rsidRDefault="00051591" w:rsidP="00462971">
            <w:pPr>
              <w:spacing w:after="0" w:line="256" w:lineRule="auto"/>
              <w:ind w:left="0" w:firstLine="0"/>
              <w:rPr>
                <w:b/>
                <w:bCs/>
              </w:rPr>
            </w:pPr>
          </w:p>
          <w:p w:rsidR="00051591" w:rsidRDefault="00051591" w:rsidP="00462971">
            <w:pPr>
              <w:spacing w:after="0" w:line="256" w:lineRule="auto"/>
              <w:ind w:left="0" w:firstLine="0"/>
            </w:pPr>
            <w:r w:rsidRPr="000F0343">
              <w:t>The purpose of this report is to</w:t>
            </w:r>
            <w:r>
              <w:t>:-</w:t>
            </w:r>
            <w:r w:rsidRPr="000F0343">
              <w:t xml:space="preserve"> </w:t>
            </w:r>
          </w:p>
          <w:p w:rsidR="00051591" w:rsidRDefault="00051591" w:rsidP="00147553">
            <w:pPr>
              <w:spacing w:after="0" w:line="256" w:lineRule="auto"/>
              <w:ind w:left="0" w:firstLine="0"/>
            </w:pPr>
          </w:p>
          <w:p w:rsidR="00051591" w:rsidRDefault="000D632C" w:rsidP="00A54C33">
            <w:pPr>
              <w:pStyle w:val="ListParagraph"/>
              <w:numPr>
                <w:ilvl w:val="0"/>
                <w:numId w:val="6"/>
              </w:numPr>
              <w:spacing w:after="0" w:line="256" w:lineRule="auto"/>
            </w:pPr>
            <w:r>
              <w:t>Note</w:t>
            </w:r>
            <w:r w:rsidR="00051591">
              <w:t xml:space="preserve"> the Terms of Reference for the </w:t>
            </w:r>
            <w:r>
              <w:t>Enterprise Zone Governance Committee as</w:t>
            </w:r>
            <w:r w:rsidR="00051591">
              <w:t xml:space="preserve"> agreed by </w:t>
            </w:r>
            <w:r w:rsidR="00623819">
              <w:t>Lancashire</w:t>
            </w:r>
            <w:r w:rsidR="00051591">
              <w:t xml:space="preserve"> En</w:t>
            </w:r>
            <w:r w:rsidR="00F1787B">
              <w:t>t</w:t>
            </w:r>
            <w:r w:rsidR="00051591">
              <w:t xml:space="preserve">erprise Partnership Board on </w:t>
            </w:r>
            <w:r>
              <w:t>10</w:t>
            </w:r>
            <w:r w:rsidRPr="00A54C33">
              <w:rPr>
                <w:vertAlign w:val="superscript"/>
              </w:rPr>
              <w:t>th</w:t>
            </w:r>
            <w:r>
              <w:t xml:space="preserve"> February </w:t>
            </w:r>
            <w:r w:rsidR="006A3358">
              <w:t>2015</w:t>
            </w:r>
            <w:r w:rsidR="00A9510D">
              <w:t>.</w:t>
            </w:r>
          </w:p>
          <w:p w:rsidR="00051591" w:rsidRDefault="00A9510D" w:rsidP="00147553">
            <w:pPr>
              <w:pStyle w:val="ListParagraph"/>
              <w:numPr>
                <w:ilvl w:val="0"/>
                <w:numId w:val="6"/>
              </w:numPr>
              <w:spacing w:after="0" w:line="256" w:lineRule="auto"/>
            </w:pPr>
            <w:r>
              <w:t xml:space="preserve">Consider </w:t>
            </w:r>
            <w:r w:rsidR="000D632C">
              <w:t>meeting frequency and timings</w:t>
            </w:r>
            <w:r w:rsidR="00051591">
              <w:t xml:space="preserve"> for 2015/16</w:t>
            </w:r>
            <w:r>
              <w:t>.</w:t>
            </w:r>
          </w:p>
          <w:p w:rsidR="00051591" w:rsidRDefault="00051591" w:rsidP="00F1787B">
            <w:pPr>
              <w:spacing w:after="0" w:line="256" w:lineRule="auto"/>
              <w:ind w:left="0" w:firstLine="0"/>
            </w:pPr>
          </w:p>
          <w:p w:rsidR="00051591" w:rsidRPr="00A94C33" w:rsidRDefault="00051591" w:rsidP="00462971">
            <w:pPr>
              <w:spacing w:after="0" w:line="256" w:lineRule="auto"/>
              <w:ind w:left="0" w:firstLine="0"/>
              <w:rPr>
                <w:b/>
              </w:rPr>
            </w:pPr>
            <w:r w:rsidRPr="00A94C33">
              <w:rPr>
                <w:b/>
              </w:rPr>
              <w:t>Recommendation</w:t>
            </w:r>
          </w:p>
          <w:p w:rsidR="00051591" w:rsidRDefault="00051591" w:rsidP="00462971">
            <w:pPr>
              <w:spacing w:after="0" w:line="256" w:lineRule="auto"/>
              <w:ind w:left="0" w:firstLine="0"/>
            </w:pPr>
          </w:p>
          <w:p w:rsidR="00051591" w:rsidRDefault="00051591" w:rsidP="00462971">
            <w:pPr>
              <w:spacing w:after="0" w:line="256" w:lineRule="auto"/>
              <w:ind w:left="0" w:firstLine="0"/>
            </w:pPr>
            <w:r>
              <w:t xml:space="preserve">The </w:t>
            </w:r>
            <w:r w:rsidR="00A9510D">
              <w:t>Committee</w:t>
            </w:r>
            <w:r>
              <w:t xml:space="preserve"> is invited to </w:t>
            </w:r>
          </w:p>
          <w:p w:rsidR="00051591" w:rsidRDefault="00051591" w:rsidP="00462971">
            <w:pPr>
              <w:spacing w:after="0" w:line="256" w:lineRule="auto"/>
              <w:ind w:left="0" w:firstLine="0"/>
            </w:pPr>
          </w:p>
          <w:p w:rsidR="00A54C33" w:rsidRDefault="00051591" w:rsidP="00A54C33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left="738" w:hanging="738"/>
            </w:pPr>
            <w:r>
              <w:t>Note the Terms of Reference</w:t>
            </w:r>
            <w:r w:rsidR="00A9510D">
              <w:t>.</w:t>
            </w:r>
          </w:p>
          <w:p w:rsidR="00051591" w:rsidRDefault="00051591" w:rsidP="00A54C33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left="738" w:hanging="738"/>
            </w:pPr>
            <w:bookmarkStart w:id="0" w:name="_GoBack"/>
            <w:bookmarkEnd w:id="0"/>
            <w:r>
              <w:t xml:space="preserve">Consider and agree </w:t>
            </w:r>
            <w:r w:rsidR="000D632C">
              <w:t>meeting frequency and timings</w:t>
            </w:r>
            <w:r w:rsidR="00A9510D">
              <w:t xml:space="preserve"> for 2015/16.</w:t>
            </w:r>
          </w:p>
          <w:p w:rsidR="006A3358" w:rsidRPr="00F1787B" w:rsidRDefault="006A3358" w:rsidP="006A3358">
            <w:pPr>
              <w:pStyle w:val="ListParagraph"/>
              <w:spacing w:after="0" w:line="256" w:lineRule="auto"/>
              <w:ind w:firstLine="0"/>
            </w:pPr>
          </w:p>
        </w:tc>
      </w:tr>
    </w:tbl>
    <w:p w:rsidR="00A3358A" w:rsidRDefault="00A3358A" w:rsidP="00CF1133">
      <w:pPr>
        <w:spacing w:after="0" w:line="256" w:lineRule="auto"/>
        <w:ind w:left="0" w:firstLine="0"/>
      </w:pPr>
    </w:p>
    <w:p w:rsidR="000D632C" w:rsidRPr="000D632C" w:rsidRDefault="000D632C" w:rsidP="00CF1133">
      <w:pPr>
        <w:spacing w:after="0" w:line="256" w:lineRule="auto"/>
        <w:ind w:left="0" w:firstLine="0"/>
        <w:rPr>
          <w:b/>
        </w:rPr>
      </w:pPr>
      <w:r w:rsidRPr="000D632C">
        <w:rPr>
          <w:b/>
        </w:rPr>
        <w:t>Background and Advice</w:t>
      </w:r>
    </w:p>
    <w:p w:rsidR="000D632C" w:rsidRDefault="000D632C" w:rsidP="00CF1133">
      <w:pPr>
        <w:spacing w:after="0" w:line="256" w:lineRule="auto"/>
        <w:ind w:left="0" w:firstLine="0"/>
      </w:pPr>
    </w:p>
    <w:p w:rsidR="000D632C" w:rsidRDefault="000D632C" w:rsidP="00CF1133">
      <w:pPr>
        <w:spacing w:after="0" w:line="256" w:lineRule="auto"/>
        <w:ind w:left="0" w:firstLine="0"/>
      </w:pPr>
      <w:r>
        <w:t>The Lancashire Enterprise Partnership at its Board meeting held on 10</w:t>
      </w:r>
      <w:r w:rsidRPr="000D632C">
        <w:rPr>
          <w:vertAlign w:val="superscript"/>
        </w:rPr>
        <w:t>th</w:t>
      </w:r>
      <w:r>
        <w:t xml:space="preserve"> February 2015 approved the Terms of Reference for the Enterprise Zone Governance Committee and approved its establishment as a sub-committee of the LEP.</w:t>
      </w:r>
    </w:p>
    <w:p w:rsidR="000D632C" w:rsidRDefault="000D632C" w:rsidP="00CF1133">
      <w:pPr>
        <w:spacing w:after="0" w:line="256" w:lineRule="auto"/>
        <w:ind w:left="0" w:firstLine="0"/>
      </w:pPr>
    </w:p>
    <w:p w:rsidR="000D632C" w:rsidRDefault="000D632C" w:rsidP="00CF1133">
      <w:pPr>
        <w:spacing w:after="0" w:line="256" w:lineRule="auto"/>
        <w:ind w:left="0" w:firstLine="0"/>
      </w:pPr>
      <w:r w:rsidRPr="002C4E94">
        <w:t>The</w:t>
      </w:r>
      <w:r>
        <w:t xml:space="preserve"> main purpose of the Enterprise Zone</w:t>
      </w:r>
      <w:r w:rsidRPr="002C4E94">
        <w:t xml:space="preserve"> </w:t>
      </w:r>
      <w:r>
        <w:t>Governance Committee</w:t>
      </w:r>
      <w:r w:rsidRPr="002C4E94">
        <w:t xml:space="preserve"> is </w:t>
      </w:r>
      <w:r>
        <w:t>to set and oversee</w:t>
      </w:r>
      <w:r w:rsidRPr="002C4E94">
        <w:t xml:space="preserve"> the strategic direction of the Lancashire Enterprise Zone</w:t>
      </w:r>
      <w:r>
        <w:t xml:space="preserve"> and provide </w:t>
      </w:r>
      <w:r w:rsidRPr="002C4E94">
        <w:t xml:space="preserve">regular reports </w:t>
      </w:r>
      <w:r>
        <w:t>on the progress of the Enterprise Zone to the LEP Board.</w:t>
      </w:r>
    </w:p>
    <w:p w:rsidR="000D632C" w:rsidRDefault="000D632C" w:rsidP="00CF1133">
      <w:pPr>
        <w:spacing w:after="0" w:line="256" w:lineRule="auto"/>
        <w:ind w:left="0" w:firstLine="0"/>
      </w:pPr>
    </w:p>
    <w:p w:rsidR="000D632C" w:rsidRDefault="000D632C" w:rsidP="00CF1133">
      <w:pPr>
        <w:spacing w:after="0" w:line="256" w:lineRule="auto"/>
        <w:ind w:left="0" w:firstLine="0"/>
      </w:pPr>
      <w:r>
        <w:t>The agreed Terms of Reference are attached at Appendix 'A' for the Committee to note.</w:t>
      </w:r>
    </w:p>
    <w:p w:rsidR="004E74A3" w:rsidRDefault="004E74A3" w:rsidP="004E74A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F1787B" w:rsidRDefault="00F1787B" w:rsidP="00F1787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Theme="minorHAnsi" w:hAnsi="Arial-BoldMT" w:cs="Arial-BoldMT"/>
          <w:b/>
          <w:bCs/>
          <w:color w:val="auto"/>
          <w:lang w:eastAsia="en-US"/>
        </w:rPr>
      </w:pPr>
    </w:p>
    <w:p w:rsidR="00F1787B" w:rsidRPr="000D632C" w:rsidRDefault="00F1787B" w:rsidP="000D632C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auto"/>
          <w:lang w:eastAsia="en-US"/>
        </w:rPr>
      </w:pPr>
      <w:r w:rsidRPr="000D632C">
        <w:rPr>
          <w:rFonts w:ascii="Arial-BoldMT" w:eastAsiaTheme="minorHAnsi" w:hAnsi="Arial-BoldMT" w:cs="Arial-BoldMT"/>
          <w:b/>
          <w:bCs/>
          <w:color w:val="auto"/>
          <w:lang w:eastAsia="en-US"/>
        </w:rPr>
        <w:lastRenderedPageBreak/>
        <w:t>Meeting Frequency</w:t>
      </w:r>
    </w:p>
    <w:p w:rsidR="006A3358" w:rsidRDefault="006A3358" w:rsidP="00F1787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6A3358" w:rsidRDefault="00AF71DA" w:rsidP="00A54C33">
      <w:pPr>
        <w:ind w:left="0" w:firstLine="0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 xml:space="preserve">In order to support the efficient discharge of the functions and requirements placed upon the </w:t>
      </w:r>
      <w:r w:rsidR="00A54C33">
        <w:rPr>
          <w:rFonts w:ascii="ArialMT" w:eastAsiaTheme="minorHAnsi" w:hAnsi="ArialMT" w:cs="ArialMT"/>
          <w:color w:val="auto"/>
          <w:lang w:eastAsia="en-US"/>
        </w:rPr>
        <w:t>Enterprise Zone Governance Committee and to ensure appropriate reporting mechanisms are put in place for the Committee to report to the LEP Board</w:t>
      </w:r>
      <w:r>
        <w:rPr>
          <w:rFonts w:ascii="ArialMT" w:eastAsiaTheme="minorHAnsi" w:hAnsi="ArialMT" w:cs="ArialMT"/>
          <w:color w:val="auto"/>
          <w:lang w:eastAsia="en-US"/>
        </w:rPr>
        <w:t xml:space="preserve"> it is </w:t>
      </w:r>
      <w:r w:rsidR="00A9510D">
        <w:rPr>
          <w:rFonts w:ascii="ArialMT" w:eastAsiaTheme="minorHAnsi" w:hAnsi="ArialMT" w:cs="ArialMT"/>
          <w:color w:val="auto"/>
          <w:lang w:eastAsia="en-US"/>
        </w:rPr>
        <w:t xml:space="preserve">considered </w:t>
      </w:r>
      <w:r>
        <w:rPr>
          <w:rFonts w:ascii="ArialMT" w:eastAsiaTheme="minorHAnsi" w:hAnsi="ArialMT" w:cs="ArialMT"/>
          <w:color w:val="auto"/>
          <w:lang w:eastAsia="en-US"/>
        </w:rPr>
        <w:t>p</w:t>
      </w:r>
      <w:r w:rsidR="00A54C33">
        <w:rPr>
          <w:rFonts w:ascii="ArialMT" w:eastAsiaTheme="minorHAnsi" w:hAnsi="ArialMT" w:cs="ArialMT"/>
          <w:color w:val="auto"/>
          <w:lang w:eastAsia="en-US"/>
        </w:rPr>
        <w:t>rudent to determine and agree the principles of meeting frequency.</w:t>
      </w:r>
    </w:p>
    <w:p w:rsidR="00A54C33" w:rsidRDefault="00A54C33" w:rsidP="00A54C33">
      <w:pPr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A54C33" w:rsidRDefault="00A54C33" w:rsidP="00A54C33">
      <w:pPr>
        <w:ind w:left="0" w:firstLine="0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It is proposed that the Committee meets approximately 2-3 weeks prior to each LEP Board meeting in order that any recommendations from the Committee can be reported to the LEP Board in a timely manner.  The Committee are therefore asked to consider and agree that Committee meetings are arranged approximately 2-3 weeks prior to the existing programme of LEP Board meetings for 2015 / 16 which are:</w:t>
      </w:r>
    </w:p>
    <w:p w:rsidR="00A54C33" w:rsidRDefault="00A54C33" w:rsidP="00A54C33">
      <w:pPr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A54C33" w:rsidRDefault="00A54C33" w:rsidP="00A54C33">
      <w:pPr>
        <w:pStyle w:val="ListParagraph"/>
        <w:numPr>
          <w:ilvl w:val="0"/>
          <w:numId w:val="11"/>
        </w:numPr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6</w:t>
      </w:r>
      <w:r w:rsidRPr="00A54C33">
        <w:rPr>
          <w:rFonts w:ascii="ArialMT" w:eastAsiaTheme="minorHAnsi" w:hAnsi="ArialMT" w:cs="ArialMT"/>
          <w:color w:val="auto"/>
          <w:vertAlign w:val="superscript"/>
          <w:lang w:eastAsia="en-US"/>
        </w:rPr>
        <w:t>th</w:t>
      </w:r>
      <w:r>
        <w:rPr>
          <w:rFonts w:ascii="ArialMT" w:eastAsiaTheme="minorHAnsi" w:hAnsi="ArialMT" w:cs="ArialMT"/>
          <w:color w:val="auto"/>
          <w:lang w:eastAsia="en-US"/>
        </w:rPr>
        <w:t xml:space="preserve"> October 2015</w:t>
      </w:r>
    </w:p>
    <w:p w:rsidR="00A54C33" w:rsidRDefault="00A54C33" w:rsidP="00A54C33">
      <w:pPr>
        <w:pStyle w:val="ListParagraph"/>
        <w:numPr>
          <w:ilvl w:val="0"/>
          <w:numId w:val="11"/>
        </w:numPr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15</w:t>
      </w:r>
      <w:r w:rsidRPr="00A54C33">
        <w:rPr>
          <w:rFonts w:ascii="ArialMT" w:eastAsiaTheme="minorHAnsi" w:hAnsi="ArialMT" w:cs="ArialMT"/>
          <w:color w:val="auto"/>
          <w:vertAlign w:val="superscript"/>
          <w:lang w:eastAsia="en-US"/>
        </w:rPr>
        <w:t>th</w:t>
      </w:r>
      <w:r>
        <w:rPr>
          <w:rFonts w:ascii="ArialMT" w:eastAsiaTheme="minorHAnsi" w:hAnsi="ArialMT" w:cs="ArialMT"/>
          <w:color w:val="auto"/>
          <w:lang w:eastAsia="en-US"/>
        </w:rPr>
        <w:t xml:space="preserve"> December 2015</w:t>
      </w:r>
    </w:p>
    <w:p w:rsidR="00A54C33" w:rsidRDefault="00A54C33" w:rsidP="00A54C33">
      <w:pPr>
        <w:pStyle w:val="ListParagraph"/>
        <w:numPr>
          <w:ilvl w:val="0"/>
          <w:numId w:val="11"/>
        </w:numPr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2</w:t>
      </w:r>
      <w:r w:rsidRPr="00A54C33">
        <w:rPr>
          <w:rFonts w:ascii="ArialMT" w:eastAsiaTheme="minorHAnsi" w:hAnsi="ArialMT" w:cs="ArialMT"/>
          <w:color w:val="auto"/>
          <w:vertAlign w:val="superscript"/>
          <w:lang w:eastAsia="en-US"/>
        </w:rPr>
        <w:t>nd</w:t>
      </w:r>
      <w:r>
        <w:rPr>
          <w:rFonts w:ascii="ArialMT" w:eastAsiaTheme="minorHAnsi" w:hAnsi="ArialMT" w:cs="ArialMT"/>
          <w:color w:val="auto"/>
          <w:lang w:eastAsia="en-US"/>
        </w:rPr>
        <w:t xml:space="preserve"> February 2016</w:t>
      </w:r>
    </w:p>
    <w:p w:rsidR="00A54C33" w:rsidRDefault="00A54C33" w:rsidP="00A54C33">
      <w:pPr>
        <w:pStyle w:val="ListParagraph"/>
        <w:numPr>
          <w:ilvl w:val="0"/>
          <w:numId w:val="11"/>
        </w:numPr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5</w:t>
      </w:r>
      <w:r w:rsidRPr="00A54C33">
        <w:rPr>
          <w:rFonts w:ascii="ArialMT" w:eastAsiaTheme="minorHAnsi" w:hAnsi="ArialMT" w:cs="ArialMT"/>
          <w:color w:val="auto"/>
          <w:vertAlign w:val="superscript"/>
          <w:lang w:eastAsia="en-US"/>
        </w:rPr>
        <w:t>th</w:t>
      </w:r>
      <w:r>
        <w:rPr>
          <w:rFonts w:ascii="ArialMT" w:eastAsiaTheme="minorHAnsi" w:hAnsi="ArialMT" w:cs="ArialMT"/>
          <w:color w:val="auto"/>
          <w:lang w:eastAsia="en-US"/>
        </w:rPr>
        <w:t xml:space="preserve"> April 2016</w:t>
      </w:r>
    </w:p>
    <w:p w:rsidR="00A54C33" w:rsidRPr="00A54C33" w:rsidRDefault="00A54C33" w:rsidP="00A54C33">
      <w:pPr>
        <w:pStyle w:val="ListParagraph"/>
        <w:numPr>
          <w:ilvl w:val="0"/>
          <w:numId w:val="11"/>
        </w:numPr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14</w:t>
      </w:r>
      <w:r w:rsidRPr="00A54C33">
        <w:rPr>
          <w:rFonts w:ascii="ArialMT" w:eastAsiaTheme="minorHAnsi" w:hAnsi="ArialMT" w:cs="ArialMT"/>
          <w:color w:val="auto"/>
          <w:vertAlign w:val="superscript"/>
          <w:lang w:eastAsia="en-US"/>
        </w:rPr>
        <w:t>th</w:t>
      </w:r>
      <w:r>
        <w:rPr>
          <w:rFonts w:ascii="ArialMT" w:eastAsiaTheme="minorHAnsi" w:hAnsi="ArialMT" w:cs="ArialMT"/>
          <w:color w:val="auto"/>
          <w:lang w:eastAsia="en-US"/>
        </w:rPr>
        <w:t xml:space="preserve"> April 2016</w:t>
      </w:r>
    </w:p>
    <w:p w:rsidR="00623819" w:rsidRDefault="00623819" w:rsidP="00A54C33">
      <w:pPr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sectPr w:rsidR="006238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456"/>
    <w:multiLevelType w:val="multilevel"/>
    <w:tmpl w:val="206E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AE77B9"/>
    <w:multiLevelType w:val="hybridMultilevel"/>
    <w:tmpl w:val="8B828B8E"/>
    <w:lvl w:ilvl="0" w:tplc="30EE62FE">
      <w:start w:val="1"/>
      <w:numFmt w:val="lowerRoman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2F6138A"/>
    <w:multiLevelType w:val="hybridMultilevel"/>
    <w:tmpl w:val="816C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C45EC"/>
    <w:multiLevelType w:val="multilevel"/>
    <w:tmpl w:val="607E3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>
    <w:nsid w:val="354304BE"/>
    <w:multiLevelType w:val="hybridMultilevel"/>
    <w:tmpl w:val="1ECE41DC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62CE9"/>
    <w:multiLevelType w:val="multilevel"/>
    <w:tmpl w:val="5492F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>
    <w:nsid w:val="50662B65"/>
    <w:multiLevelType w:val="hybridMultilevel"/>
    <w:tmpl w:val="349E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5442A"/>
    <w:multiLevelType w:val="hybridMultilevel"/>
    <w:tmpl w:val="B4C8E4B6"/>
    <w:lvl w:ilvl="0" w:tplc="B4DC07A0">
      <w:start w:val="1"/>
      <w:numFmt w:val="lowerRoman"/>
      <w:lvlText w:val="%1."/>
      <w:lvlJc w:val="left"/>
      <w:pPr>
        <w:ind w:left="72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51591"/>
    <w:rsid w:val="00094697"/>
    <w:rsid w:val="000D2752"/>
    <w:rsid w:val="000D632C"/>
    <w:rsid w:val="000F1CF7"/>
    <w:rsid w:val="00113335"/>
    <w:rsid w:val="00145322"/>
    <w:rsid w:val="00147553"/>
    <w:rsid w:val="001F5AEF"/>
    <w:rsid w:val="00284E9F"/>
    <w:rsid w:val="002B49F2"/>
    <w:rsid w:val="002E69BD"/>
    <w:rsid w:val="0035233C"/>
    <w:rsid w:val="003B18C2"/>
    <w:rsid w:val="004176B4"/>
    <w:rsid w:val="004E74A3"/>
    <w:rsid w:val="005206EF"/>
    <w:rsid w:val="005D7059"/>
    <w:rsid w:val="00623819"/>
    <w:rsid w:val="006A3358"/>
    <w:rsid w:val="006C0636"/>
    <w:rsid w:val="00727978"/>
    <w:rsid w:val="007A7CEE"/>
    <w:rsid w:val="007D5F5A"/>
    <w:rsid w:val="00870C84"/>
    <w:rsid w:val="008D7B94"/>
    <w:rsid w:val="0096218F"/>
    <w:rsid w:val="00A3358A"/>
    <w:rsid w:val="00A54C33"/>
    <w:rsid w:val="00A9510D"/>
    <w:rsid w:val="00AF71DA"/>
    <w:rsid w:val="00B13ACE"/>
    <w:rsid w:val="00B25A7B"/>
    <w:rsid w:val="00B439EA"/>
    <w:rsid w:val="00BC4466"/>
    <w:rsid w:val="00BE3AA8"/>
    <w:rsid w:val="00C52160"/>
    <w:rsid w:val="00CD3B45"/>
    <w:rsid w:val="00CF1133"/>
    <w:rsid w:val="00D7480F"/>
    <w:rsid w:val="00E60319"/>
    <w:rsid w:val="00F01FE2"/>
    <w:rsid w:val="00F1787B"/>
    <w:rsid w:val="00F4109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5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F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milroy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35B2-AFD5-4772-8A44-16D9E213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Milroy, Andy</cp:lastModifiedBy>
  <cp:revision>7</cp:revision>
  <cp:lastPrinted>2015-07-02T08:00:00Z</cp:lastPrinted>
  <dcterms:created xsi:type="dcterms:W3CDTF">2015-06-25T10:41:00Z</dcterms:created>
  <dcterms:modified xsi:type="dcterms:W3CDTF">2015-07-09T14:44:00Z</dcterms:modified>
</cp:coreProperties>
</file>